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C78" w:rsidRPr="00362C78" w:rsidRDefault="00362C78" w:rsidP="00362C78">
      <w:pPr>
        <w:spacing w:after="0" w:line="240" w:lineRule="auto"/>
        <w:contextualSpacing/>
        <w:rPr>
          <w:rFonts w:cstheme="minorHAnsi"/>
          <w:b/>
          <w:sz w:val="24"/>
          <w:szCs w:val="24"/>
        </w:rPr>
      </w:pPr>
      <w:bookmarkStart w:id="0" w:name="_GoBack"/>
      <w:r w:rsidRPr="00362C78">
        <w:rPr>
          <w:rFonts w:cstheme="minorHAnsi"/>
          <w:b/>
          <w:sz w:val="24"/>
          <w:szCs w:val="24"/>
        </w:rPr>
        <w:t>О</w:t>
      </w:r>
      <w:r w:rsidRPr="00362C78">
        <w:rPr>
          <w:rFonts w:cstheme="minorHAnsi"/>
          <w:b/>
          <w:sz w:val="24"/>
          <w:szCs w:val="24"/>
        </w:rPr>
        <w:t>сновные изменения влечет за собой новое Положение о СУОТ</w:t>
      </w:r>
      <w:r w:rsidRPr="00362C78">
        <w:rPr>
          <w:rFonts w:cstheme="minorHAnsi"/>
          <w:b/>
          <w:sz w:val="24"/>
          <w:szCs w:val="24"/>
        </w:rPr>
        <w:t xml:space="preserve">: </w:t>
      </w:r>
      <w:r w:rsidRPr="00362C78">
        <w:rPr>
          <w:rFonts w:cstheme="minorHAnsi"/>
          <w:b/>
          <w:sz w:val="24"/>
          <w:szCs w:val="24"/>
        </w:rPr>
        <w:t>сравнительный анализ</w:t>
      </w:r>
      <w:bookmarkEnd w:id="0"/>
    </w:p>
    <w:p w:rsidR="00362C78" w:rsidRPr="00362C78" w:rsidRDefault="00362C78" w:rsidP="00362C78">
      <w:pPr>
        <w:spacing w:after="0" w:line="240" w:lineRule="auto"/>
        <w:contextualSpacing/>
        <w:rPr>
          <w:rFonts w:cstheme="minorHAnsi"/>
          <w:sz w:val="24"/>
          <w:szCs w:val="24"/>
        </w:rPr>
      </w:pPr>
    </w:p>
    <w:tbl>
      <w:tblPr>
        <w:tblStyle w:val="a3"/>
        <w:tblW w:w="14596" w:type="dxa"/>
        <w:tblLook w:val="04A0" w:firstRow="1" w:lastRow="0" w:firstColumn="1" w:lastColumn="0" w:noHBand="0" w:noVBand="1"/>
      </w:tblPr>
      <w:tblGrid>
        <w:gridCol w:w="4390"/>
        <w:gridCol w:w="10206"/>
      </w:tblGrid>
      <w:tr w:rsidR="00362C78" w:rsidRPr="00362C78" w:rsidTr="00362C78">
        <w:tc>
          <w:tcPr>
            <w:tcW w:w="4390" w:type="dxa"/>
            <w:shd w:val="clear" w:color="auto" w:fill="B4C6E7" w:themeFill="accent1" w:themeFillTint="66"/>
          </w:tcPr>
          <w:p w:rsidR="00362C78" w:rsidRPr="00362C78" w:rsidRDefault="00362C78" w:rsidP="00362C78">
            <w:pPr>
              <w:jc w:val="center"/>
              <w:rPr>
                <w:b/>
              </w:rPr>
            </w:pPr>
            <w:r w:rsidRPr="00362C78">
              <w:rPr>
                <w:b/>
              </w:rPr>
              <w:t>Приказ № 438н (действующий)</w:t>
            </w:r>
          </w:p>
        </w:tc>
        <w:tc>
          <w:tcPr>
            <w:tcW w:w="10206" w:type="dxa"/>
            <w:shd w:val="clear" w:color="auto" w:fill="B4C6E7" w:themeFill="accent1" w:themeFillTint="66"/>
          </w:tcPr>
          <w:p w:rsidR="00362C78" w:rsidRPr="00362C78" w:rsidRDefault="00362C78" w:rsidP="00362C78">
            <w:pPr>
              <w:jc w:val="center"/>
              <w:rPr>
                <w:b/>
              </w:rPr>
            </w:pPr>
            <w:r w:rsidRPr="00362C78">
              <w:rPr>
                <w:b/>
              </w:rPr>
              <w:t>Приказ (проект)</w:t>
            </w:r>
          </w:p>
        </w:tc>
      </w:tr>
      <w:tr w:rsidR="00362C78" w:rsidRPr="00362C78" w:rsidTr="00362C78">
        <w:tc>
          <w:tcPr>
            <w:tcW w:w="4390" w:type="dxa"/>
          </w:tcPr>
          <w:p w:rsidR="00362C78" w:rsidRPr="00362C78" w:rsidRDefault="00362C78" w:rsidP="00362C78"/>
        </w:tc>
        <w:tc>
          <w:tcPr>
            <w:tcW w:w="10206" w:type="dxa"/>
          </w:tcPr>
          <w:p w:rsidR="00362C78" w:rsidRPr="00362C78" w:rsidRDefault="00362C78" w:rsidP="00362C78">
            <w:r w:rsidRPr="00362C78">
              <w:t>Существенно расширен круг работодателей, не обязанных разрабатывать свои положения согласно новому приказу. В отличие от приказа № 438н в новом проекте перечислен обширный список работодателей, на которых приказ не будет распространяться. Для этих работодателей будут действительными их действующие Положения о СУОТ. Это существенно отличает примерное положение – 2021 от типового положения 438н.</w:t>
            </w:r>
          </w:p>
        </w:tc>
      </w:tr>
      <w:tr w:rsidR="00362C78" w:rsidRPr="00362C78" w:rsidTr="00362C78">
        <w:tc>
          <w:tcPr>
            <w:tcW w:w="4390" w:type="dxa"/>
          </w:tcPr>
          <w:p w:rsidR="00362C78" w:rsidRPr="00362C78" w:rsidRDefault="00362C78" w:rsidP="00362C78">
            <w:r w:rsidRPr="00362C78">
              <w:t>3. СУОТ должна быть совместимой с другими системами управления, действующими у работодателя.</w:t>
            </w:r>
          </w:p>
          <w:p w:rsidR="00362C78" w:rsidRPr="00362C78" w:rsidRDefault="00362C78" w:rsidP="00362C78">
            <w:r w:rsidRPr="00362C78">
              <w:t>Структура СУОТ у работодателей, численность работников которых составляет менее 15 человек, может быть упрощенной при условии соблюдения государственных нормативных требований охраны труда. Упрощение осуществляется с учетом специфики деятельности работодателя путем сокращения предусмотренных пунктом 19 настоящего Типового положения уровней управления между работником и работодателем в целом с установлением обязанностей в соответствии с пунктами 22 и 25 настоящего Типового положения.</w:t>
            </w:r>
          </w:p>
          <w:p w:rsidR="00362C78" w:rsidRPr="00362C78" w:rsidRDefault="00362C78" w:rsidP="00362C78"/>
        </w:tc>
        <w:tc>
          <w:tcPr>
            <w:tcW w:w="10206" w:type="dxa"/>
          </w:tcPr>
          <w:p w:rsidR="00362C78" w:rsidRPr="00362C78" w:rsidRDefault="00362C78" w:rsidP="00362C78">
            <w:r w:rsidRPr="00362C78">
              <w:t>1. Требования настоящего Примерного положения обязательны к исполнению работодателями независимо от организационно-правовых форм и форм собственности организаций, работодателями - физическими лицами (за исключением работодателей – физических лиц, не являющихся индивидуальными предпринимателями).</w:t>
            </w:r>
          </w:p>
          <w:p w:rsidR="00362C78" w:rsidRPr="00362C78" w:rsidRDefault="00362C78" w:rsidP="00362C78">
            <w:r w:rsidRPr="00362C78">
              <w:t xml:space="preserve">Требования настоящего Примерного положения не распространяются на работодателей-индивидуальных предпринимателей, осуществляющих свою деятельность самостоятельно, без привлечения работников по трудовым договорам, на работодателей, не осуществляющих производственную деятельность согласно уставным документам с численностью работников не более 50 человек, работодателей – субъектов малого предпринимательства, а также работодателей – индивидуальных предпринимателей, численность работников которых не превышает 35 человек, а в сфере розничной торговли и бытового обслуживания – 20 человек.  </w:t>
            </w:r>
          </w:p>
          <w:p w:rsidR="00362C78" w:rsidRPr="00362C78" w:rsidRDefault="00362C78" w:rsidP="00362C78">
            <w:r w:rsidRPr="00362C78">
              <w:t>Структура СУОТ у работодателей, численность работников которых составляет до 100 человек, может быть упрощенной при условии соблюдения государственных нормативных требований охраны труда. Упрощение осуществляется с учетом специфики деятельности работодателя путем сокращения предусмотренных пунктом 53 настоящего Примерного положения уровней управления между работником и работодателем в целом с установлением обязанностей в соответствии с пунктами 46 - 52 настоящего Примерного положения.</w:t>
            </w:r>
          </w:p>
          <w:p w:rsidR="00362C78" w:rsidRPr="00362C78" w:rsidRDefault="00362C78" w:rsidP="00362C78">
            <w:r w:rsidRPr="00362C78">
              <w:t>Требования настоящего Примерного положения могут не распространяться на работодателей, не осуществляющих производственную деятельность согласно уставным документам с численностью работников более 50 человек, при отсутствии у них производственного оборудования, являющегося источником вредных производственных факторов, уровень воздействия которых превышает установленные гигиенические нормативы.</w:t>
            </w:r>
          </w:p>
          <w:p w:rsidR="00362C78" w:rsidRPr="00362C78" w:rsidRDefault="00362C78" w:rsidP="00362C78">
            <w:r w:rsidRPr="00362C78">
              <w:t xml:space="preserve">Требования настоящего Примерного положения могут не распространяться на работодателей с численностью работников от 50 до 100 человек, не осуществляющих производственную деятельность согласно уставным документам, при отсутствии у них структурных подразделений, осуществляющих производственную деятельность, а также производственного оборудования, являющегося источником </w:t>
            </w:r>
            <w:r w:rsidRPr="00362C78">
              <w:lastRenderedPageBreak/>
              <w:t xml:space="preserve">вредных производственных факторов, уровень воздействия которых превышает установленные гигиенические нормативы. </w:t>
            </w:r>
          </w:p>
          <w:p w:rsidR="00362C78" w:rsidRPr="00362C78" w:rsidRDefault="00362C78" w:rsidP="00362C78">
            <w:r w:rsidRPr="00362C78">
              <w:t xml:space="preserve">Требования настоящего Примерного положения могут не распространяться на работодателей с численностью работников от 100 до 500 человек, не осуществляющих производственную деятельность согласно уставным документам, при отсутствии у них структурных подразделений, осуществляющих производственную деятельность, а также производственного оборудования, являющегося источником вредных производственных факторов, уровень воздействия которых превышает установленные гигиенические нормативы, но при наличии в штатном расписании службы (специалиста) по охране труда. </w:t>
            </w:r>
          </w:p>
          <w:p w:rsidR="00362C78" w:rsidRPr="00362C78" w:rsidRDefault="00362C78" w:rsidP="00362C78">
            <w:r w:rsidRPr="00362C78">
              <w:t>При наличии у работодателя с численностью работников от 50 до 500 человек структурных подразделений, осуществляющих производственную деятельность, а также производственного оборудования, являющегося источником вредных производственных факторов, уровень воздействия которых превышает установленные гигиенические нормативы, а также у работодателя с численностью работников более 500 человек СУОТ создается в соответствии с требованиями Примерного положения.</w:t>
            </w:r>
          </w:p>
        </w:tc>
      </w:tr>
      <w:tr w:rsidR="00362C78" w:rsidRPr="00362C78" w:rsidTr="00362C78">
        <w:tc>
          <w:tcPr>
            <w:tcW w:w="4390" w:type="dxa"/>
          </w:tcPr>
          <w:p w:rsidR="00362C78" w:rsidRPr="00362C78" w:rsidRDefault="00362C78" w:rsidP="00362C78">
            <w:r w:rsidRPr="00362C78">
              <w:lastRenderedPageBreak/>
              <w:t>Типовое положение распространяется на всех работодателей.</w:t>
            </w:r>
          </w:p>
        </w:tc>
        <w:tc>
          <w:tcPr>
            <w:tcW w:w="10206" w:type="dxa"/>
          </w:tcPr>
          <w:p w:rsidR="00362C78" w:rsidRPr="00362C78" w:rsidRDefault="00362C78" w:rsidP="00362C78">
            <w:r w:rsidRPr="00362C78">
              <w:t xml:space="preserve">Примерное положение о СУОТ распространяется на производственную сферу и учитывает риски и опасности, характерные для промышленности, транспорта, добычи, обработки и переработки ресурсов.  </w:t>
            </w:r>
          </w:p>
        </w:tc>
      </w:tr>
      <w:tr w:rsidR="00362C78" w:rsidRPr="00362C78" w:rsidTr="00362C78">
        <w:trPr>
          <w:trHeight w:val="1850"/>
        </w:trPr>
        <w:tc>
          <w:tcPr>
            <w:tcW w:w="4390" w:type="dxa"/>
          </w:tcPr>
          <w:p w:rsidR="00362C78" w:rsidRPr="00362C78" w:rsidRDefault="00362C78" w:rsidP="00362C78">
            <w:r w:rsidRPr="00362C78">
              <w:t>Ранее таких указаний не было</w:t>
            </w:r>
          </w:p>
        </w:tc>
        <w:tc>
          <w:tcPr>
            <w:tcW w:w="10206" w:type="dxa"/>
          </w:tcPr>
          <w:p w:rsidR="00362C78" w:rsidRPr="00362C78" w:rsidRDefault="00362C78" w:rsidP="00362C78">
            <w:r w:rsidRPr="00362C78">
              <w:t>В пункте 3 нового проекта указано, что должностные обязанности ответственных лиц должны быть зафиксированы в локальных нормативных актах. Это означает, что одного приказа о назначении теперь недостаточно, поскольку приказ не является ЛНА. Таким ЛНА является, например, Положение.</w:t>
            </w:r>
          </w:p>
          <w:p w:rsidR="00362C78" w:rsidRPr="00362C78" w:rsidRDefault="00362C78" w:rsidP="00362C78">
            <w:r w:rsidRPr="00362C78">
              <w:t>Производственные организации должны дополнить свои Положения о СУОТ процедурами по развитию культуры безопасности на всех уровнях управления в организации.</w:t>
            </w:r>
          </w:p>
        </w:tc>
      </w:tr>
      <w:tr w:rsidR="00362C78" w:rsidRPr="00362C78" w:rsidTr="00362C78">
        <w:tc>
          <w:tcPr>
            <w:tcW w:w="4390" w:type="dxa"/>
          </w:tcPr>
          <w:p w:rsidR="00362C78" w:rsidRPr="00362C78" w:rsidRDefault="00362C78" w:rsidP="00362C78">
            <w:r w:rsidRPr="00362C78">
              <w:t>Ранее таких указаний не было</w:t>
            </w:r>
          </w:p>
        </w:tc>
        <w:tc>
          <w:tcPr>
            <w:tcW w:w="10206" w:type="dxa"/>
          </w:tcPr>
          <w:p w:rsidR="00362C78" w:rsidRPr="00362C78" w:rsidRDefault="00362C78" w:rsidP="00362C78">
            <w:r w:rsidRPr="00362C78">
              <w:t>В пункте 9 нового проекта указано, что Политику в области охраны рекомендуется обновлять каждые три года.</w:t>
            </w:r>
          </w:p>
        </w:tc>
      </w:tr>
      <w:tr w:rsidR="00362C78" w:rsidRPr="00362C78" w:rsidTr="00362C78">
        <w:tc>
          <w:tcPr>
            <w:tcW w:w="4390" w:type="dxa"/>
          </w:tcPr>
          <w:p w:rsidR="00362C78" w:rsidRPr="00362C78" w:rsidRDefault="00362C78" w:rsidP="00362C78">
            <w:r w:rsidRPr="00362C78">
              <w:t>19. В качестве уровней управления могут рассматриваться:</w:t>
            </w:r>
          </w:p>
          <w:p w:rsidR="00362C78" w:rsidRPr="00362C78" w:rsidRDefault="00362C78" w:rsidP="00362C78">
            <w:r w:rsidRPr="00362C78">
              <w:t>а) уровень производственной бригады;</w:t>
            </w:r>
          </w:p>
          <w:p w:rsidR="00362C78" w:rsidRPr="00362C78" w:rsidRDefault="00362C78" w:rsidP="00362C78">
            <w:r w:rsidRPr="00362C78">
              <w:t>б) уровень производственного участка;</w:t>
            </w:r>
          </w:p>
          <w:p w:rsidR="00362C78" w:rsidRPr="00362C78" w:rsidRDefault="00362C78" w:rsidP="00362C78">
            <w:r w:rsidRPr="00362C78">
              <w:t>в) уровень производственного цеха (структурного подразделения);</w:t>
            </w:r>
          </w:p>
          <w:p w:rsidR="00362C78" w:rsidRPr="00362C78" w:rsidRDefault="00362C78" w:rsidP="00362C78">
            <w:r w:rsidRPr="00362C78">
              <w:t>г) уровень филиала (обособленного структурного подразделения);</w:t>
            </w:r>
          </w:p>
          <w:p w:rsidR="00362C78" w:rsidRPr="00362C78" w:rsidRDefault="00362C78" w:rsidP="00362C78">
            <w:r w:rsidRPr="00362C78">
              <w:t>д) уровень службы (совокупности нескольких структурных подразделений);</w:t>
            </w:r>
          </w:p>
          <w:p w:rsidR="00362C78" w:rsidRPr="00362C78" w:rsidRDefault="00362C78" w:rsidP="00362C78">
            <w:r w:rsidRPr="00362C78">
              <w:lastRenderedPageBreak/>
              <w:t>е) уровень работодателя в целом.</w:t>
            </w:r>
          </w:p>
          <w:p w:rsidR="00362C78" w:rsidRPr="00362C78" w:rsidRDefault="00362C78" w:rsidP="00362C78"/>
        </w:tc>
        <w:tc>
          <w:tcPr>
            <w:tcW w:w="10206" w:type="dxa"/>
          </w:tcPr>
          <w:p w:rsidR="00362C78" w:rsidRPr="00362C78" w:rsidRDefault="00362C78" w:rsidP="00362C78">
            <w:r w:rsidRPr="00362C78">
              <w:lastRenderedPageBreak/>
              <w:t>в пункте 53 нового проекта указан первый уровень – уровень рабочего места, которого нет в пункте 19 приказа № 438н. Но это не новшество. Ранее весь трехступенчатый контроль строился именно с уровня рабочего места.</w:t>
            </w:r>
          </w:p>
          <w:p w:rsidR="00362C78" w:rsidRPr="00362C78" w:rsidRDefault="00362C78" w:rsidP="00362C78">
            <w:r w:rsidRPr="00362C78">
              <w:t xml:space="preserve">53. В качестве уровней управления по охране труда у работодателя могут рассматриваться: </w:t>
            </w:r>
          </w:p>
          <w:p w:rsidR="00362C78" w:rsidRPr="00362C78" w:rsidRDefault="00362C78" w:rsidP="00362C78">
            <w:r w:rsidRPr="00362C78">
              <w:t>а) рабочее место;</w:t>
            </w:r>
          </w:p>
          <w:p w:rsidR="00362C78" w:rsidRPr="00362C78" w:rsidRDefault="00362C78" w:rsidP="00362C78">
            <w:r w:rsidRPr="00362C78">
              <w:t>б) уровень производственной бригады или группы;</w:t>
            </w:r>
          </w:p>
          <w:p w:rsidR="00362C78" w:rsidRPr="00362C78" w:rsidRDefault="00362C78" w:rsidP="00362C78">
            <w:r w:rsidRPr="00362C78">
              <w:t>в) уровень производственного участка;</w:t>
            </w:r>
          </w:p>
          <w:p w:rsidR="00362C78" w:rsidRPr="00362C78" w:rsidRDefault="00362C78" w:rsidP="00362C78">
            <w:r w:rsidRPr="00362C78">
              <w:t xml:space="preserve">г) уровень производственного цеха; </w:t>
            </w:r>
          </w:p>
          <w:p w:rsidR="00362C78" w:rsidRPr="00362C78" w:rsidRDefault="00362C78" w:rsidP="00362C78">
            <w:r w:rsidRPr="00362C78">
              <w:t xml:space="preserve">д) уровень структурного подразделения (отдела); </w:t>
            </w:r>
          </w:p>
          <w:p w:rsidR="00362C78" w:rsidRPr="00362C78" w:rsidRDefault="00362C78" w:rsidP="00362C78">
            <w:r w:rsidRPr="00362C78">
              <w:t xml:space="preserve">д) уровень службы; </w:t>
            </w:r>
          </w:p>
          <w:p w:rsidR="00362C78" w:rsidRPr="00362C78" w:rsidRDefault="00362C78" w:rsidP="00362C78">
            <w:r w:rsidRPr="00362C78">
              <w:lastRenderedPageBreak/>
              <w:t xml:space="preserve">е) уровень совокупности нескольких структурных подразделений (управления); </w:t>
            </w:r>
          </w:p>
          <w:p w:rsidR="00362C78" w:rsidRPr="00362C78" w:rsidRDefault="00362C78" w:rsidP="00362C78">
            <w:r w:rsidRPr="00362C78">
              <w:t>ж) уровень группы структурных подразделений (департамента);</w:t>
            </w:r>
          </w:p>
          <w:p w:rsidR="00362C78" w:rsidRPr="00362C78" w:rsidRDefault="00362C78" w:rsidP="00362C78">
            <w:r w:rsidRPr="00362C78">
              <w:t>з) уровень филиала или обособленного структурного подразделения (дивизиона);</w:t>
            </w:r>
          </w:p>
          <w:p w:rsidR="00362C78" w:rsidRPr="00362C78" w:rsidRDefault="00362C78" w:rsidP="00362C78">
            <w:r w:rsidRPr="00362C78">
              <w:t>и) уровень работодателя в целом.</w:t>
            </w:r>
          </w:p>
          <w:p w:rsidR="00362C78" w:rsidRPr="00362C78" w:rsidRDefault="00362C78" w:rsidP="00362C78"/>
        </w:tc>
      </w:tr>
      <w:tr w:rsidR="00362C78" w:rsidRPr="00362C78" w:rsidTr="00362C78">
        <w:tc>
          <w:tcPr>
            <w:tcW w:w="4390" w:type="dxa"/>
          </w:tcPr>
          <w:p w:rsidR="00362C78" w:rsidRPr="00362C78" w:rsidRDefault="00362C78" w:rsidP="00362C78">
            <w:r w:rsidRPr="00362C78">
              <w:lastRenderedPageBreak/>
              <w:t>Ранее информация о микроповреждениях в разделе «Реагирование на аварии, несчастные случаи и профессиональные заболевания» не были указаны</w:t>
            </w:r>
          </w:p>
        </w:tc>
        <w:tc>
          <w:tcPr>
            <w:tcW w:w="10206" w:type="dxa"/>
          </w:tcPr>
          <w:p w:rsidR="00362C78" w:rsidRPr="00362C78" w:rsidRDefault="00362C78" w:rsidP="00362C78">
            <w:r w:rsidRPr="00362C78">
              <w:t xml:space="preserve">В пункте 59 нового положения указано, что микроповреждения (микротравмы) учитываются при расследовании также, как несчастные случаи или профзаболевания. Поэтому, в связи с надвигающимися изменениями в Трудовом Кодексе Российской Федерации, ожидается федеральный порядок расследования таких </w:t>
            </w:r>
            <w:proofErr w:type="spellStart"/>
            <w:r w:rsidRPr="00362C78">
              <w:t>микротравмп</w:t>
            </w:r>
            <w:proofErr w:type="spellEnd"/>
            <w:r w:rsidRPr="00362C78">
              <w:t>.</w:t>
            </w:r>
          </w:p>
        </w:tc>
      </w:tr>
      <w:tr w:rsidR="00362C78" w:rsidRPr="00362C78" w:rsidTr="00362C78">
        <w:tc>
          <w:tcPr>
            <w:tcW w:w="4390" w:type="dxa"/>
          </w:tcPr>
          <w:p w:rsidR="00362C78" w:rsidRPr="00362C78" w:rsidRDefault="00362C78" w:rsidP="00362C78">
            <w:r w:rsidRPr="00362C78">
              <w:t>Ранее не было</w:t>
            </w:r>
          </w:p>
        </w:tc>
        <w:tc>
          <w:tcPr>
            <w:tcW w:w="10206" w:type="dxa"/>
          </w:tcPr>
          <w:p w:rsidR="00362C78" w:rsidRPr="00362C78" w:rsidRDefault="00362C78" w:rsidP="00362C78">
            <w:r w:rsidRPr="00362C78">
              <w:t>Появился отдельный раздел «Финансирование мероприятий по охране труда». В таком виде, как на портале, он «ни о чем». Не выдерживает критики подобные высказывания:</w:t>
            </w:r>
          </w:p>
          <w:p w:rsidR="00362C78" w:rsidRPr="00362C78" w:rsidRDefault="00362C78" w:rsidP="00362C78">
            <w:r w:rsidRPr="00362C78">
              <w:t>61. Финансирование мероприятий по улучшению условий и охраны труда работодателем осуществляется в размере суммы затрат, не ниже установленных Трудовым кодексом Российской Федерации.</w:t>
            </w:r>
          </w:p>
          <w:p w:rsidR="00362C78" w:rsidRPr="00362C78" w:rsidRDefault="00362C78" w:rsidP="00362C78"/>
        </w:tc>
      </w:tr>
      <w:tr w:rsidR="00362C78" w:rsidRPr="00362C78" w:rsidTr="00362C78">
        <w:trPr>
          <w:trHeight w:val="4632"/>
        </w:trPr>
        <w:tc>
          <w:tcPr>
            <w:tcW w:w="4390" w:type="dxa"/>
          </w:tcPr>
          <w:p w:rsidR="00362C78" w:rsidRPr="00362C78" w:rsidRDefault="00362C78" w:rsidP="00362C78">
            <w:r w:rsidRPr="00362C78">
              <w:t>Ранее не было</w:t>
            </w:r>
          </w:p>
        </w:tc>
        <w:tc>
          <w:tcPr>
            <w:tcW w:w="10206" w:type="dxa"/>
          </w:tcPr>
          <w:p w:rsidR="00362C78" w:rsidRPr="00362C78" w:rsidRDefault="00362C78" w:rsidP="00362C78">
            <w:r w:rsidRPr="00362C78">
              <w:t xml:space="preserve">Появился новый раздел «Формирование и развитие культуры безопасного труда». Поэтому производственные предприятия также должны включить его в свое положение о СУОТ. </w:t>
            </w:r>
          </w:p>
          <w:p w:rsidR="00362C78" w:rsidRPr="00362C78" w:rsidRDefault="00362C78" w:rsidP="00362C78">
            <w:r w:rsidRPr="00362C78">
              <w:t xml:space="preserve">42. Руководители работодателя в целях продвижение культуры безопасного труда как ключевого элемента СУОТ и обеспечения управленческого лидерства по охране труда </w:t>
            </w:r>
            <w:r w:rsidRPr="00362C78">
              <w:rPr>
                <w:b/>
              </w:rPr>
              <w:t>должны обеспечить реализацию следующих принципов:</w:t>
            </w:r>
          </w:p>
          <w:p w:rsidR="00362C78" w:rsidRPr="00362C78" w:rsidRDefault="00362C78" w:rsidP="00362C78">
            <w:r w:rsidRPr="00362C78">
              <w:t>охрана труда и безопасность работников на рабочих местах является основной (ключевой) ценностью у работодателя;</w:t>
            </w:r>
          </w:p>
          <w:p w:rsidR="00362C78" w:rsidRPr="00362C78" w:rsidRDefault="00362C78" w:rsidP="00362C78">
            <w:r w:rsidRPr="00362C78">
              <w:t>устранению опасностей, снижению уровня профессиональных рисков, защите работников, привержены все руководители не зависимо от уровня управления и должностных обязанностей;</w:t>
            </w:r>
          </w:p>
          <w:p w:rsidR="00362C78" w:rsidRPr="00362C78" w:rsidRDefault="00362C78" w:rsidP="00362C78">
            <w:r w:rsidRPr="00362C78">
              <w:t>все необходимые ресурсы для реализации и поддержания программ мероприятий по охране труда выделяются в необходимом объеме и в срок;</w:t>
            </w:r>
          </w:p>
          <w:p w:rsidR="00362C78" w:rsidRPr="00362C78" w:rsidRDefault="00362C78" w:rsidP="00362C78">
            <w:r w:rsidRPr="00362C78">
              <w:t>сведения, касающиеся вопросов охраны труда и здоровья в организации, доводятся до сведения всех работников и других заинтересованных лиц в доступной и открытой форме.</w:t>
            </w:r>
          </w:p>
          <w:p w:rsidR="00362C78" w:rsidRPr="00362C78" w:rsidRDefault="00362C78" w:rsidP="00362C78"/>
        </w:tc>
      </w:tr>
    </w:tbl>
    <w:p w:rsidR="00362C78" w:rsidRPr="00362C78" w:rsidRDefault="00362C78" w:rsidP="00362C78">
      <w:pPr>
        <w:shd w:val="clear" w:color="auto" w:fill="FFFFFF"/>
        <w:spacing w:after="0" w:line="240" w:lineRule="auto"/>
        <w:ind w:firstLine="708"/>
        <w:contextualSpacing/>
        <w:jc w:val="both"/>
        <w:rPr>
          <w:rFonts w:cstheme="minorHAnsi"/>
          <w:sz w:val="24"/>
          <w:szCs w:val="24"/>
        </w:rPr>
      </w:pPr>
    </w:p>
    <w:p w:rsidR="00362C78" w:rsidRPr="00362C78" w:rsidRDefault="00362C78" w:rsidP="00362C78">
      <w:pPr>
        <w:shd w:val="clear" w:color="auto" w:fill="FFFFFF"/>
        <w:spacing w:after="0" w:line="240" w:lineRule="auto"/>
        <w:ind w:firstLine="708"/>
        <w:contextualSpacing/>
        <w:jc w:val="both"/>
        <w:rPr>
          <w:rFonts w:eastAsia="Times New Roman" w:cstheme="minorHAnsi"/>
          <w:color w:val="444444"/>
          <w:sz w:val="24"/>
          <w:szCs w:val="24"/>
          <w:lang w:eastAsia="ru-RU"/>
        </w:rPr>
      </w:pPr>
    </w:p>
    <w:sectPr w:rsidR="00362C78" w:rsidRPr="00362C78" w:rsidSect="0036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CE5"/>
    <w:multiLevelType w:val="hybridMultilevel"/>
    <w:tmpl w:val="B41C3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DE2EBE"/>
    <w:multiLevelType w:val="hybridMultilevel"/>
    <w:tmpl w:val="E5F20390"/>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3C15C0E"/>
    <w:multiLevelType w:val="hybridMultilevel"/>
    <w:tmpl w:val="8B166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760B06"/>
    <w:multiLevelType w:val="multilevel"/>
    <w:tmpl w:val="07B4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03E7B"/>
    <w:multiLevelType w:val="hybridMultilevel"/>
    <w:tmpl w:val="65944F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1066BB"/>
    <w:multiLevelType w:val="multilevel"/>
    <w:tmpl w:val="9D4A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009D9"/>
    <w:multiLevelType w:val="hybridMultilevel"/>
    <w:tmpl w:val="DCF67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78"/>
    <w:rsid w:val="0036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1C5B"/>
  <w15:chartTrackingRefBased/>
  <w15:docId w15:val="{D03AA97F-BB04-4FE7-9246-09BCA525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C78"/>
  </w:style>
  <w:style w:type="paragraph" w:styleId="1">
    <w:name w:val="heading 1"/>
    <w:basedOn w:val="a"/>
    <w:next w:val="a"/>
    <w:link w:val="10"/>
    <w:uiPriority w:val="9"/>
    <w:qFormat/>
    <w:rsid w:val="00362C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62C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362C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C7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362C7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362C78"/>
    <w:rPr>
      <w:rFonts w:ascii="Times New Roman" w:eastAsia="Times New Roman" w:hAnsi="Times New Roman" w:cs="Times New Roman"/>
      <w:b/>
      <w:bCs/>
      <w:sz w:val="27"/>
      <w:szCs w:val="27"/>
      <w:lang w:eastAsia="ru-RU"/>
    </w:rPr>
  </w:style>
  <w:style w:type="table" w:styleId="a3">
    <w:name w:val="Table Grid"/>
    <w:basedOn w:val="a1"/>
    <w:uiPriority w:val="59"/>
    <w:rsid w:val="0036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62C78"/>
    <w:rPr>
      <w:color w:val="0563C1" w:themeColor="hyperlink"/>
      <w:u w:val="single"/>
    </w:rPr>
  </w:style>
  <w:style w:type="paragraph" w:styleId="a5">
    <w:name w:val="Normal (Web)"/>
    <w:basedOn w:val="a"/>
    <w:uiPriority w:val="99"/>
    <w:semiHidden/>
    <w:unhideWhenUsed/>
    <w:rsid w:val="00362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Заголовок_3,Подпись рисунка,асз.Списка,Bullet 1,Use Case List Paragraph,List Paragraph,Bullet List,FooterText,numbered,Paragraphe de liste1,Bulletr List Paragraph"/>
    <w:basedOn w:val="a"/>
    <w:link w:val="a7"/>
    <w:uiPriority w:val="1"/>
    <w:qFormat/>
    <w:rsid w:val="00362C78"/>
    <w:pPr>
      <w:spacing w:after="120" w:line="276" w:lineRule="auto"/>
      <w:ind w:left="119" w:right="105" w:firstLine="384"/>
      <w:jc w:val="both"/>
    </w:pPr>
    <w:rPr>
      <w:rFonts w:ascii="Arial" w:eastAsia="Arial" w:hAnsi="Arial" w:cs="Arial"/>
      <w:lang w:val="en-US"/>
    </w:rPr>
  </w:style>
  <w:style w:type="character" w:customStyle="1" w:styleId="a7">
    <w:name w:val="Абзац списка Знак"/>
    <w:aliases w:val="Заголовок_3 Знак,Подпись рисунка Знак,асз.Списка Знак,Bullet 1 Знак,Use Case List Paragraph Знак,List Paragraph Знак,Bullet List Знак,FooterText Знак,numbered Знак,Paragraphe de liste1 Знак,Bulletr List Paragraph Знак"/>
    <w:link w:val="a6"/>
    <w:uiPriority w:val="1"/>
    <w:locked/>
    <w:rsid w:val="00362C78"/>
    <w:rPr>
      <w:rFonts w:ascii="Arial" w:eastAsia="Arial" w:hAnsi="Arial" w:cs="Arial"/>
      <w:lang w:val="en-US"/>
    </w:rPr>
  </w:style>
  <w:style w:type="paragraph" w:styleId="a8">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9"/>
    <w:uiPriority w:val="99"/>
    <w:semiHidden/>
    <w:unhideWhenUsed/>
    <w:rsid w:val="00362C78"/>
    <w:pPr>
      <w:spacing w:after="120" w:line="276" w:lineRule="auto"/>
      <w:ind w:firstLine="709"/>
      <w:jc w:val="both"/>
    </w:pPr>
    <w:rPr>
      <w:rFonts w:ascii="Arial" w:eastAsia="Arial" w:hAnsi="Arial" w:cs="Arial"/>
      <w:sz w:val="20"/>
      <w:szCs w:val="20"/>
      <w:lang w:val="en-US"/>
    </w:rPr>
  </w:style>
  <w:style w:type="character" w:customStyle="1" w:styleId="a9">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0"/>
    <w:link w:val="a8"/>
    <w:uiPriority w:val="99"/>
    <w:semiHidden/>
    <w:rsid w:val="00362C78"/>
    <w:rPr>
      <w:rFonts w:ascii="Arial" w:eastAsia="Arial" w:hAnsi="Arial" w:cs="Arial"/>
      <w:sz w:val="20"/>
      <w:szCs w:val="20"/>
      <w:lang w:val="en-US"/>
    </w:rPr>
  </w:style>
  <w:style w:type="character" w:styleId="aa">
    <w:name w:val="footnote reference"/>
    <w:basedOn w:val="a0"/>
    <w:uiPriority w:val="99"/>
    <w:semiHidden/>
    <w:unhideWhenUsed/>
    <w:rsid w:val="00362C78"/>
    <w:rPr>
      <w:vertAlign w:val="superscript"/>
    </w:rPr>
  </w:style>
  <w:style w:type="character" w:customStyle="1" w:styleId="blk">
    <w:name w:val="blk"/>
    <w:basedOn w:val="a0"/>
    <w:rsid w:val="00362C78"/>
  </w:style>
  <w:style w:type="character" w:customStyle="1" w:styleId="nobr">
    <w:name w:val="nobr"/>
    <w:basedOn w:val="a0"/>
    <w:rsid w:val="00362C78"/>
  </w:style>
  <w:style w:type="paragraph" w:styleId="ab">
    <w:name w:val="Balloon Text"/>
    <w:basedOn w:val="a"/>
    <w:link w:val="ac"/>
    <w:uiPriority w:val="99"/>
    <w:semiHidden/>
    <w:unhideWhenUsed/>
    <w:rsid w:val="00362C7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62C78"/>
    <w:rPr>
      <w:rFonts w:ascii="Segoe UI" w:hAnsi="Segoe UI" w:cs="Segoe UI"/>
      <w:sz w:val="18"/>
      <w:szCs w:val="18"/>
    </w:rPr>
  </w:style>
  <w:style w:type="character" w:styleId="ad">
    <w:name w:val="Unresolved Mention"/>
    <w:basedOn w:val="a0"/>
    <w:uiPriority w:val="99"/>
    <w:semiHidden/>
    <w:unhideWhenUsed/>
    <w:rsid w:val="00362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1213</Words>
  <Characters>6917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Шихалева я</dc:creator>
  <cp:keywords/>
  <dc:description/>
  <cp:lastModifiedBy>Юлия Шихалева я</cp:lastModifiedBy>
  <cp:revision>1</cp:revision>
  <dcterms:created xsi:type="dcterms:W3CDTF">2021-03-30T10:33:00Z</dcterms:created>
  <dcterms:modified xsi:type="dcterms:W3CDTF">2021-03-30T10:39:00Z</dcterms:modified>
</cp:coreProperties>
</file>